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E6" w:rsidRDefault="00AF0DE6" w:rsidP="005A174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222222"/>
        </w:rPr>
      </w:pPr>
    </w:p>
    <w:p w:rsidR="005A1741" w:rsidRPr="005A1741" w:rsidRDefault="00AF0DE6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color w:val="222222"/>
        </w:rPr>
        <w:tab/>
        <w:t>Tracy Curley Audit Committee Case</w:t>
      </w:r>
      <w:r w:rsidR="005A1741" w:rsidRPr="005A1741">
        <w:rPr>
          <w:rFonts w:ascii="Calibri" w:eastAsia="Times New Roman" w:hAnsi="Calibri" w:cs="Arial"/>
          <w:color w:val="222222"/>
        </w:rPr>
        <w:t> </w:t>
      </w:r>
    </w:p>
    <w:p w:rsidR="005A1741" w:rsidRDefault="005A1741" w:rsidP="00AF0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Pr="005A1741" w:rsidRDefault="00AF0DE6" w:rsidP="00AF0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1: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Background: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A small public</w:t>
      </w:r>
      <w:r w:rsidRPr="005A1741">
        <w:rPr>
          <w:rFonts w:ascii="Arial" w:eastAsia="Times New Roman" w:hAnsi="Arial" w:cs="Arial"/>
          <w:color w:val="222222"/>
          <w:sz w:val="19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materials technology company specializing in biomedical polymers for extrusion, injection molding, films and coatings for a wide variety of uses subcutaneously.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Founded in 1993 and public since 1996.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Except for the current year (2016), the five previous years (2011 – 2015) the Company has been unable to file their 10K on time. Number quarterly filing</w:t>
      </w:r>
      <w:r w:rsidR="00AF0DE6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 xml:space="preserve"> have also not been filed on time.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They have had four different independent accounting firms as the auditors in the last six years (2011 – 2015).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No going concern for the last six years…but always on the cusp.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 xml:space="preserve">Signed certification in 2009 and 2010 as the acting CFO and signed certification from 2011 through 2014 as the CFO. No certification from a Chief Accounting Officer in the </w:t>
      </w:r>
      <w:proofErr w:type="spellStart"/>
      <w:r w:rsidRPr="005A1741">
        <w:rPr>
          <w:rFonts w:ascii="Arial" w:eastAsia="Times New Roman" w:hAnsi="Arial" w:cs="Arial"/>
          <w:color w:val="222222"/>
          <w:sz w:val="19"/>
          <w:szCs w:val="19"/>
        </w:rPr>
        <w:t>filed</w:t>
      </w:r>
      <w:proofErr w:type="spellEnd"/>
      <w:r w:rsidRPr="005A1741">
        <w:rPr>
          <w:rFonts w:ascii="Arial" w:eastAsia="Times New Roman" w:hAnsi="Arial" w:cs="Arial"/>
          <w:color w:val="222222"/>
          <w:sz w:val="19"/>
          <w:szCs w:val="19"/>
        </w:rPr>
        <w:t xml:space="preserve"> 2015 10K.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Times New Roman" w:eastAsia="Times New Roman" w:hAnsi="Times New Roman" w:cs="Times New Roman"/>
          <w:color w:val="222222"/>
          <w:sz w:val="19"/>
          <w:szCs w:val="19"/>
        </w:rPr>
        <w:t>•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No material weaknesses reported in the 10K for the last six years (2011-2015).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You are a Member of the Audit Committee: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Thoughts?</w:t>
      </w:r>
      <w:proofErr w:type="gramEnd"/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Concerns?</w:t>
      </w:r>
      <w:proofErr w:type="gramEnd"/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Questions?</w:t>
      </w:r>
      <w:proofErr w:type="gramEnd"/>
    </w:p>
    <w:p w:rsid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2:</w:t>
      </w: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Pr="005A1741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From 1997 through 1999 the CFO mentioned above was the Acting Chief Financial Officer of a public company that came under SEC investigation.  The CFO was accused of assisting in document falsification and was</w:t>
      </w:r>
      <w:r w:rsidR="00AF0DE6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5A1741">
        <w:rPr>
          <w:rFonts w:ascii="Verdana" w:eastAsia="Times New Roman" w:hAnsi="Verdana" w:cs="Times New Roman"/>
          <w:color w:val="454545"/>
          <w:sz w:val="20"/>
          <w:szCs w:val="20"/>
        </w:rPr>
        <w:t>ermanently enjoining from violating, directly or indirectly: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Verdana" w:eastAsia="Times New Roman" w:hAnsi="Verdana" w:cs="Arial"/>
          <w:color w:val="454545"/>
          <w:sz w:val="20"/>
          <w:szCs w:val="20"/>
        </w:rPr>
        <w:t xml:space="preserve">Section 10(b) of the Exchange Act [15 U.S.C. § </w:t>
      </w:r>
      <w:proofErr w:type="gramStart"/>
      <w:r w:rsidRPr="005A1741">
        <w:rPr>
          <w:rFonts w:ascii="Verdana" w:eastAsia="Times New Roman" w:hAnsi="Verdana" w:cs="Arial"/>
          <w:color w:val="454545"/>
          <w:sz w:val="20"/>
          <w:szCs w:val="20"/>
        </w:rPr>
        <w:t>78j(</w:t>
      </w:r>
      <w:proofErr w:type="gramEnd"/>
      <w:r w:rsidRPr="005A1741">
        <w:rPr>
          <w:rFonts w:ascii="Verdana" w:eastAsia="Times New Roman" w:hAnsi="Verdana" w:cs="Arial"/>
          <w:color w:val="454545"/>
          <w:sz w:val="20"/>
          <w:szCs w:val="20"/>
        </w:rPr>
        <w:t xml:space="preserve">b)] and Rule 10b-5 [17 C.F.R. § 240.10b-5] </w:t>
      </w:r>
      <w:proofErr w:type="spellStart"/>
      <w:r w:rsidRPr="005A1741">
        <w:rPr>
          <w:rFonts w:ascii="Verdana" w:eastAsia="Times New Roman" w:hAnsi="Verdana" w:cs="Arial"/>
          <w:color w:val="454545"/>
          <w:sz w:val="20"/>
          <w:szCs w:val="20"/>
        </w:rPr>
        <w:t>thereunder</w:t>
      </w:r>
      <w:proofErr w:type="spellEnd"/>
      <w:r w:rsidRPr="005A1741">
        <w:rPr>
          <w:rFonts w:ascii="Verdana" w:eastAsia="Times New Roman" w:hAnsi="Verdana" w:cs="Arial"/>
          <w:color w:val="454545"/>
          <w:sz w:val="20"/>
          <w:szCs w:val="20"/>
        </w:rPr>
        <w:t>;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Verdana" w:eastAsia="Times New Roman" w:hAnsi="Verdana" w:cs="Arial"/>
          <w:color w:val="454545"/>
          <w:sz w:val="20"/>
          <w:szCs w:val="20"/>
        </w:rPr>
        <w:t>Section 13(b</w:t>
      </w:r>
      <w:proofErr w:type="gramStart"/>
      <w:r w:rsidRPr="005A1741">
        <w:rPr>
          <w:rFonts w:ascii="Verdana" w:eastAsia="Times New Roman" w:hAnsi="Verdana" w:cs="Arial"/>
          <w:color w:val="454545"/>
          <w:sz w:val="20"/>
          <w:szCs w:val="20"/>
        </w:rPr>
        <w:t>)(</w:t>
      </w:r>
      <w:proofErr w:type="gramEnd"/>
      <w:r w:rsidRPr="005A1741">
        <w:rPr>
          <w:rFonts w:ascii="Verdana" w:eastAsia="Times New Roman" w:hAnsi="Verdana" w:cs="Arial"/>
          <w:color w:val="454545"/>
          <w:sz w:val="20"/>
          <w:szCs w:val="20"/>
        </w:rPr>
        <w:t>5) of the Exchange Act [15 U.S.C. § 78m(b)(5)] and Exchange Act Rules 13b2-1 and 13b2-2 [17 C.F.R. §§ 240.13b2-1, 240.13b2-2];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Verdana" w:eastAsia="Times New Roman" w:hAnsi="Verdana" w:cs="Arial"/>
          <w:color w:val="454545"/>
          <w:sz w:val="20"/>
          <w:szCs w:val="20"/>
        </w:rPr>
        <w:t xml:space="preserve">Section 13(a) of the Exchange Act [15 U.S.C. §§ </w:t>
      </w:r>
      <w:proofErr w:type="gramStart"/>
      <w:r w:rsidRPr="005A1741">
        <w:rPr>
          <w:rFonts w:ascii="Verdana" w:eastAsia="Times New Roman" w:hAnsi="Verdana" w:cs="Arial"/>
          <w:color w:val="454545"/>
          <w:sz w:val="20"/>
          <w:szCs w:val="20"/>
        </w:rPr>
        <w:t>78m(</w:t>
      </w:r>
      <w:proofErr w:type="gramEnd"/>
      <w:r w:rsidRPr="005A1741">
        <w:rPr>
          <w:rFonts w:ascii="Verdana" w:eastAsia="Times New Roman" w:hAnsi="Verdana" w:cs="Arial"/>
          <w:color w:val="454545"/>
          <w:sz w:val="20"/>
          <w:szCs w:val="20"/>
        </w:rPr>
        <w:t xml:space="preserve">a)] and Rules 12b-20, 13a-1, and 13a-13 </w:t>
      </w:r>
      <w:proofErr w:type="spellStart"/>
      <w:r w:rsidRPr="005A1741">
        <w:rPr>
          <w:rFonts w:ascii="Verdana" w:eastAsia="Times New Roman" w:hAnsi="Verdana" w:cs="Arial"/>
          <w:color w:val="454545"/>
          <w:sz w:val="20"/>
          <w:szCs w:val="20"/>
        </w:rPr>
        <w:t>thereunder</w:t>
      </w:r>
      <w:proofErr w:type="spellEnd"/>
      <w:r w:rsidRPr="005A1741">
        <w:rPr>
          <w:rFonts w:ascii="Verdana" w:eastAsia="Times New Roman" w:hAnsi="Verdana" w:cs="Arial"/>
          <w:color w:val="454545"/>
          <w:sz w:val="20"/>
          <w:szCs w:val="20"/>
        </w:rPr>
        <w:t xml:space="preserve"> [17 C.F.R. §§ 240.12b-20, 240.13a-1, and 240.13a-13];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Verdana" w:eastAsia="Times New Roman" w:hAnsi="Verdana" w:cs="Arial"/>
          <w:color w:val="454545"/>
          <w:sz w:val="20"/>
          <w:szCs w:val="20"/>
        </w:rPr>
        <w:t>Sections 13(b)(2)(A) and 13(b)(2)(B) of the Exchange Act [15 U.S.C. §§ 78m(b)(2)(A) and 78m(b)(2)(B)]; and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Exchange Act Rule 13a-11 [17 C.F.R. § 240.13a-11].</w:t>
      </w:r>
      <w:proofErr w:type="gramEnd"/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The SEC also required the CFO</w:t>
      </w:r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 to pay civil money penalties pursuant to Section 21(d</w:t>
      </w:r>
      <w:proofErr w:type="gramStart"/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)(</w:t>
      </w:r>
      <w:proofErr w:type="gramEnd"/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3) of the Exchange Act [15 U.S.C. § 78u(d)(3)] in an amount determined by the Court.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454545"/>
          <w:sz w:val="24"/>
          <w:szCs w:val="24"/>
        </w:rPr>
        <w:t>The SEC did not permanently prohibit the CFO from acting as an officer or director of any issuer that has a class of securities registered pursuant to Section 12 of the Exchange Act [15 U.S.C. § 781] or that is required to file reports pursuant to Section 15(d) of the Exchange Act [15 U.S.C. § 78o(d)].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Questions: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Thoughts?</w:t>
      </w:r>
      <w:proofErr w:type="gramEnd"/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Concerns?</w:t>
      </w:r>
      <w:proofErr w:type="gramEnd"/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Questions?</w:t>
      </w:r>
      <w:proofErr w:type="gramEnd"/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0DE6" w:rsidRDefault="00AF0DE6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3: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More Background: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During the audits the CFO was known to: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5A1741">
        <w:rPr>
          <w:rFonts w:ascii="Arial" w:eastAsia="Times New Roman" w:hAnsi="Arial" w:cs="Arial"/>
          <w:color w:val="222222"/>
          <w:sz w:val="19"/>
          <w:szCs w:val="19"/>
        </w:rPr>
        <w:t>Not</w:t>
      </w:r>
      <w:proofErr w:type="gramEnd"/>
      <w:r w:rsidRPr="005A1741">
        <w:rPr>
          <w:rFonts w:ascii="Arial" w:eastAsia="Times New Roman" w:hAnsi="Arial" w:cs="Arial"/>
          <w:color w:val="222222"/>
          <w:sz w:val="19"/>
          <w:szCs w:val="19"/>
        </w:rPr>
        <w:t xml:space="preserve"> tell the whole story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Try to tell the engagement team how they should audit (scope)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Ghost for weeks at a time without any forewarning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5A1741">
        <w:rPr>
          <w:rFonts w:ascii="Arial" w:eastAsia="Times New Roman" w:hAnsi="Arial" w:cs="Arial"/>
          <w:color w:val="222222"/>
          <w:sz w:val="19"/>
          <w:szCs w:val="19"/>
        </w:rPr>
        <w:t>Be</w:t>
      </w:r>
      <w:proofErr w:type="gramEnd"/>
      <w:r w:rsidRPr="005A1741">
        <w:rPr>
          <w:rFonts w:ascii="Arial" w:eastAsia="Times New Roman" w:hAnsi="Arial" w:cs="Arial"/>
          <w:color w:val="222222"/>
          <w:sz w:val="19"/>
          <w:szCs w:val="19"/>
        </w:rPr>
        <w:t xml:space="preserve"> rude and unprofessional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Make comments that bordered on threatening (independence)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At least in one instance, the Chair of the Audit Committee was informed of the above behaviors.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1741" w:rsidRPr="005A1741" w:rsidRDefault="005A1741" w:rsidP="005A1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1741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Questions:</w:t>
      </w:r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Thoughts?</w:t>
      </w:r>
      <w:proofErr w:type="gramEnd"/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Concerns?</w:t>
      </w:r>
      <w:proofErr w:type="gramEnd"/>
    </w:p>
    <w:p w:rsidR="005A1741" w:rsidRPr="005A1741" w:rsidRDefault="005A1741" w:rsidP="005A17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A1741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5A174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5A1741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Pr="005A1741">
        <w:rPr>
          <w:rFonts w:ascii="Arial" w:eastAsia="Times New Roman" w:hAnsi="Arial" w:cs="Arial"/>
          <w:color w:val="222222"/>
          <w:sz w:val="19"/>
          <w:szCs w:val="19"/>
        </w:rPr>
        <w:t>Questions?</w:t>
      </w:r>
      <w:proofErr w:type="gramEnd"/>
    </w:p>
    <w:p w:rsidR="00DB0F96" w:rsidRDefault="00DB0F96"/>
    <w:sectPr w:rsidR="00DB0F96" w:rsidSect="00DB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1741"/>
    <w:rsid w:val="005A1741"/>
    <w:rsid w:val="00AF0DE6"/>
    <w:rsid w:val="00DB0F96"/>
    <w:rsid w:val="00E8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2016-08-13T12:16:00Z</dcterms:created>
  <dcterms:modified xsi:type="dcterms:W3CDTF">2016-08-13T12:16:00Z</dcterms:modified>
</cp:coreProperties>
</file>